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3B" w:rsidRPr="00F21A0A" w:rsidRDefault="00BA109F" w:rsidP="0094639F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3403B" w:rsidRPr="00F21A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67818" w:rsidRDefault="00767818" w:rsidP="00782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18" w:rsidRDefault="00767818" w:rsidP="00782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13" w:rsidRPr="00DB07F5" w:rsidRDefault="00782713" w:rsidP="00782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>Форма представления информации</w:t>
      </w:r>
    </w:p>
    <w:p w:rsidR="007668B4" w:rsidRDefault="00782713" w:rsidP="00B9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906D8" w:rsidRPr="00DB07F5">
        <w:rPr>
          <w:rFonts w:ascii="Times New Roman" w:hAnsi="Times New Roman" w:cs="Times New Roman"/>
          <w:b/>
          <w:sz w:val="28"/>
          <w:szCs w:val="28"/>
        </w:rPr>
        <w:t>развитии и результатах проведения процедур</w:t>
      </w:r>
      <w:r w:rsidRPr="00DB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E88">
        <w:rPr>
          <w:rFonts w:ascii="Times New Roman" w:hAnsi="Times New Roman" w:cs="Times New Roman"/>
          <w:b/>
          <w:sz w:val="28"/>
          <w:szCs w:val="28"/>
        </w:rPr>
        <w:t xml:space="preserve">ОРВ </w:t>
      </w:r>
      <w:r w:rsidRPr="00DB07F5">
        <w:rPr>
          <w:rFonts w:ascii="Times New Roman" w:hAnsi="Times New Roman" w:cs="Times New Roman"/>
          <w:b/>
          <w:sz w:val="28"/>
          <w:szCs w:val="28"/>
        </w:rPr>
        <w:t>и экспертизы</w:t>
      </w:r>
      <w:r w:rsidR="00EE6E88">
        <w:rPr>
          <w:rFonts w:ascii="Times New Roman" w:hAnsi="Times New Roman" w:cs="Times New Roman"/>
          <w:b/>
          <w:sz w:val="28"/>
          <w:szCs w:val="28"/>
        </w:rPr>
        <w:br/>
      </w:r>
      <w:r w:rsidR="007668B4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="00B16030">
        <w:rPr>
          <w:rFonts w:ascii="Times New Roman" w:hAnsi="Times New Roman" w:cs="Times New Roman"/>
          <w:b/>
          <w:sz w:val="28"/>
          <w:szCs w:val="28"/>
        </w:rPr>
        <w:t>Новопокровский</w:t>
      </w:r>
      <w:proofErr w:type="spellEnd"/>
      <w:r w:rsidR="00B1603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21DFC"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  <w:r w:rsidR="00455EFA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F21DF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E6F42">
        <w:rPr>
          <w:rFonts w:ascii="Times New Roman" w:hAnsi="Times New Roman" w:cs="Times New Roman"/>
          <w:b/>
          <w:sz w:val="28"/>
          <w:szCs w:val="28"/>
        </w:rPr>
        <w:t>20</w:t>
      </w:r>
      <w:r w:rsidR="00F21D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668B4" w:rsidRPr="007668B4" w:rsidRDefault="007668B4" w:rsidP="00B90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82713" w:rsidRDefault="00782713" w:rsidP="0078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45F" w:rsidRDefault="0028045F" w:rsidP="0078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846"/>
        <w:gridCol w:w="8930"/>
        <w:gridCol w:w="4820"/>
      </w:tblGrid>
      <w:tr w:rsidR="00782713" w:rsidRPr="00507F49" w:rsidTr="00767818">
        <w:tc>
          <w:tcPr>
            <w:tcW w:w="846" w:type="dxa"/>
          </w:tcPr>
          <w:p w:rsidR="00782713" w:rsidRPr="00507F49" w:rsidRDefault="0078271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</w:tcPr>
          <w:p w:rsidR="00782713" w:rsidRPr="00507F49" w:rsidRDefault="0078271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</w:t>
            </w:r>
          </w:p>
        </w:tc>
        <w:tc>
          <w:tcPr>
            <w:tcW w:w="4820" w:type="dxa"/>
          </w:tcPr>
          <w:p w:rsidR="00782713" w:rsidRPr="00507F49" w:rsidRDefault="0078271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4801DA" w:rsidRPr="007668B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782713" w:rsidRPr="00507F49" w:rsidTr="00767818">
        <w:tc>
          <w:tcPr>
            <w:tcW w:w="14596" w:type="dxa"/>
            <w:gridSpan w:val="3"/>
          </w:tcPr>
          <w:p w:rsidR="00782713" w:rsidRPr="00507F49" w:rsidRDefault="00305651" w:rsidP="002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211E7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82713"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етодическое </w:t>
            </w:r>
            <w:r w:rsidR="00211E79"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сопровождение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30" w:type="dxa"/>
          </w:tcPr>
          <w:p w:rsidR="00B16030" w:rsidRPr="00473306" w:rsidRDefault="00B16030" w:rsidP="000C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устанавливающего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B16030" w:rsidRPr="00507F49" w:rsidRDefault="005509A4" w:rsidP="0055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22.09.2020 №787 «Об утверждении Порядка проведения оценки регулирующего воздействия проектов муниципальных нормативных правовых актов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</w:t>
            </w:r>
            <w:r w:rsidR="006E408B">
              <w:rPr>
                <w:rFonts w:ascii="Times New Roman" w:hAnsi="Times New Roman" w:cs="Times New Roman"/>
                <w:sz w:val="24"/>
                <w:szCs w:val="24"/>
              </w:rPr>
              <w:t>обязанности для субъектов предпринимательской и инвестиционной деятельности»</w:t>
            </w:r>
            <w:proofErr w:type="gramEnd"/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30" w:type="dxa"/>
          </w:tcPr>
          <w:p w:rsidR="00B16030" w:rsidRPr="00DE2220" w:rsidRDefault="00B16030" w:rsidP="004B664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методическим рекомендациям</w:t>
            </w:r>
            <w:proofErr w:type="gramStart"/>
            <w:r w:rsidRPr="0030565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30" w:type="dxa"/>
          </w:tcPr>
          <w:p w:rsidR="00B16030" w:rsidRDefault="00B16030" w:rsidP="0078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закреплено проведение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установленной предметной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507F49" w:rsidRDefault="001E788A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62703D" w:rsidRDefault="00B16030" w:rsidP="00A16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930" w:type="dxa"/>
          </w:tcPr>
          <w:p w:rsidR="00B16030" w:rsidRDefault="00F62B6A" w:rsidP="0062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закреплено </w:t>
            </w:r>
            <w:r w:rsidRPr="009B24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ОРВ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вносимых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к на пункты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(соглашений)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>(это не Порядок проведения ОРВ – смотреть сноску)</w:t>
            </w:r>
            <w:proofErr w:type="gramEnd"/>
          </w:p>
        </w:tc>
        <w:tc>
          <w:tcPr>
            <w:tcW w:w="4820" w:type="dxa"/>
          </w:tcPr>
          <w:p w:rsidR="00B16030" w:rsidRDefault="001E788A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C626B" w:rsidRDefault="007C626B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  <w:p w:rsidR="00B16030" w:rsidRPr="00507F49" w:rsidRDefault="00F62B6A" w:rsidP="00F6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27.08.2020 №</w:t>
            </w:r>
            <w:r w:rsidR="002E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 «Об оценке регулирующего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воздействия проектов </w:t>
            </w:r>
            <w:r w:rsidR="007C626B">
              <w:rPr>
                <w:rFonts w:ascii="Times New Roman" w:hAnsi="Times New Roman" w:cs="Times New Roman"/>
                <w:sz w:val="24"/>
                <w:szCs w:val="24"/>
              </w:rPr>
              <w:t>решений Совета муниципального образования</w:t>
            </w:r>
            <w:proofErr w:type="gramEnd"/>
            <w:r w:rsidR="007C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26B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7C626B">
              <w:rPr>
                <w:rFonts w:ascii="Times New Roman" w:hAnsi="Times New Roman" w:cs="Times New Roman"/>
                <w:sz w:val="24"/>
                <w:szCs w:val="24"/>
              </w:rPr>
              <w:t xml:space="preserve"> район и экспертизе решений Совета муниципального образования </w:t>
            </w:r>
            <w:proofErr w:type="spellStart"/>
            <w:r w:rsidR="007C626B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7C626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6E408B" w:rsidRPr="00507F49" w:rsidTr="00767818">
        <w:tc>
          <w:tcPr>
            <w:tcW w:w="846" w:type="dxa"/>
          </w:tcPr>
          <w:p w:rsidR="006E408B" w:rsidRPr="0062703D" w:rsidRDefault="006E408B" w:rsidP="00A16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8930" w:type="dxa"/>
          </w:tcPr>
          <w:p w:rsidR="006E408B" w:rsidRDefault="006E408B" w:rsidP="0062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закреплено </w:t>
            </w:r>
            <w:r w:rsidRPr="009B24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экспертизы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к на пункты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которыми закреплено «согласие» представительного органа на проведение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экспертизы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разрабатываемых 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(это не Порядок проведения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экспертизы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смотреть сноску)</w:t>
            </w:r>
            <w:proofErr w:type="gramEnd"/>
          </w:p>
        </w:tc>
        <w:tc>
          <w:tcPr>
            <w:tcW w:w="4820" w:type="dxa"/>
          </w:tcPr>
          <w:p w:rsidR="007C626B" w:rsidRDefault="007C626B" w:rsidP="007C6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C626B" w:rsidRDefault="007C626B" w:rsidP="007C6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  <w:p w:rsidR="006E408B" w:rsidRDefault="007C626B" w:rsidP="007C6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27.08.2020 №</w:t>
            </w:r>
            <w:r w:rsidR="002E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 «Об оценке регулирующего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воздействия проектов решений Совета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и экспертизе решений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30" w:type="dxa"/>
          </w:tcPr>
          <w:p w:rsidR="00B16030" w:rsidRDefault="00B16030" w:rsidP="0078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закреплена процедура урегулирования разногласий, выявленных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в ходе проведения ОРВ проектов муниципальных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 нет)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030" w:rsidRDefault="00B16030" w:rsidP="0078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 на пункты порядка или иного НПА)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30" w:type="dxa"/>
          </w:tcPr>
          <w:p w:rsidR="00B16030" w:rsidRPr="00AA52E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проведения ОРВ и экспертизы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от 23 июля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3014-КЗ «Об оценке регулирующего воздействия проектов муниципальных нормативных правовых актов и экспертизе муниципальных нормативных правовых актов»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D7486F" w:rsidRDefault="00B16030" w:rsidP="00A16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b/>
                <w:sz w:val="24"/>
                <w:szCs w:val="24"/>
              </w:rPr>
              <w:t>1.6.1</w:t>
            </w: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Учтены рекомендации по внесению изменений в нормативную правовую базу, изложенные в письме департамента от 1 сентября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 № 333-5706/17-02-03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br/>
              <w:t>и в Обзоре за 2017 год в части: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Pr="00507F49" w:rsidRDefault="001E788A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1) установления сроков этапов проведения процедуры ОРВ в рабочих днях;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  <w:p w:rsidR="00B16030" w:rsidRPr="00507F49" w:rsidRDefault="00B16030" w:rsidP="002E1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E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оценки регулирующего воздействия проектов  муниципальных   нормативных правовых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</w:t>
            </w:r>
            <w:r w:rsidR="002E1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2E17DF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2E17DF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2) дополнения формы сводного отчета сведениями о степени регулирующего воздействия;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п. 1.6.1 Приложения №1 к Порядку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 w:rsidR="00306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3061E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3061EA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3) направления проекта заключения об экспертизе на отзыв органу-разработчику, представителям предпринимательского сообщества;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AA2">
              <w:rPr>
                <w:rFonts w:ascii="Times New Roman" w:hAnsi="Times New Roman" w:cs="Times New Roman"/>
                <w:sz w:val="24"/>
                <w:szCs w:val="24"/>
              </w:rPr>
              <w:t>да, п.12 Порядка проведения экспертизы муниципальных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 (приложение к решению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01.06.2018 № 198 «Об утверждении порядка проведении экспертизы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и инвестиционной деятельности»)</w:t>
            </w:r>
            <w:proofErr w:type="gramEnd"/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4) регламентации специальных процедур урегулирования разногласий по возникшим в ходе ОРВ и экспертизы спорным вопросам;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 w:rsidR="00E54A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E54AA2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E54AA2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30" w:rsidRPr="00507F49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15-27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5) объединения процедур экспертизы и оценки фактического воздействия.</w:t>
            </w:r>
          </w:p>
          <w:p w:rsidR="00B16030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реквизитов муниципальных НПА, которыми внесены соответствующие изменения в порядки проведения ОРВ и экспертизы)</w:t>
            </w:r>
          </w:p>
        </w:tc>
        <w:tc>
          <w:tcPr>
            <w:tcW w:w="4820" w:type="dxa"/>
          </w:tcPr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 w:rsidR="00A670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A670D3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A670D3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proofErr w:type="gramEnd"/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30" w:rsidRPr="00507F49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8-9.2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930" w:type="dxa"/>
          </w:tcPr>
          <w:p w:rsidR="00B16030" w:rsidRDefault="00B16030" w:rsidP="0039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При проведении ОРВ учитывается степень регулирующего воздействия проектов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392853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392853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 на пункты порядка)</w:t>
            </w:r>
          </w:p>
        </w:tc>
        <w:tc>
          <w:tcPr>
            <w:tcW w:w="4820" w:type="dxa"/>
          </w:tcPr>
          <w:p w:rsidR="00B16030" w:rsidRPr="00507F49" w:rsidRDefault="00B16030" w:rsidP="009D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да,  п.</w:t>
            </w:r>
            <w:r w:rsidR="009D4D8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 w:rsidR="009D4D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9D4D8E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9D4D8E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</w:t>
            </w:r>
            <w:proofErr w:type="gramEnd"/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930" w:type="dxa"/>
          </w:tcPr>
          <w:p w:rsidR="00B16030" w:rsidRPr="00507F49" w:rsidRDefault="00B16030" w:rsidP="00DB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номер,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НПА, устанавливающего порядок проведения экспертизы </w:t>
            </w:r>
            <w:proofErr w:type="gramStart"/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3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далее – экспертиза)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01.06.2018 № 198 «Об утверждении порядка проведении экспертизы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деятельности»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930" w:type="dxa"/>
          </w:tcPr>
          <w:p w:rsidR="00B16030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Утверждены формы документов, необходимых для проведения ОРВ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и экспертизы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DB07F5">
              <w:rPr>
                <w:rFonts w:ascii="Times New Roman" w:hAnsi="Times New Roman" w:cs="Times New Roman"/>
                <w:i/>
                <w:sz w:val="24"/>
                <w:szCs w:val="24"/>
              </w:rPr>
              <w:t>(да/нет) (перечислить формы)</w:t>
            </w:r>
          </w:p>
        </w:tc>
        <w:tc>
          <w:tcPr>
            <w:tcW w:w="4820" w:type="dxa"/>
          </w:tcPr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форма сводного отчета,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о проведении публичных консультаций,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перечня вопросов для проведения публичных консультаций,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заключения об ОРВ,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таблицы разногласий, 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вопросов для участников публичных консультаций,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заключения о проведении экспертизы, </w:t>
            </w:r>
          </w:p>
          <w:p w:rsidR="00B16030" w:rsidRPr="00507F49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разногласий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8930" w:type="dxa"/>
          </w:tcPr>
          <w:p w:rsidR="00B16030" w:rsidRPr="00507F49" w:rsidRDefault="00B16030" w:rsidP="006A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Положения о консультативном совете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экспертизе </w:t>
            </w:r>
            <w:proofErr w:type="gramStart"/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4820" w:type="dxa"/>
          </w:tcPr>
          <w:p w:rsidR="00B16030" w:rsidRPr="00507F49" w:rsidRDefault="00B16030" w:rsidP="009D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</w:t>
            </w:r>
            <w:r w:rsidR="009D4D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D8E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453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A4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D8E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изменения в постановление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4 августа 2015 года №624 "Об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DB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930" w:type="dxa"/>
          </w:tcPr>
          <w:p w:rsidR="00B16030" w:rsidRPr="00346E0E" w:rsidRDefault="00B16030" w:rsidP="0046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ОРВ и экспертизы, </w:t>
            </w:r>
            <w:r w:rsidRPr="006A5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20" w:type="dxa"/>
          </w:tcPr>
          <w:p w:rsidR="00B16030" w:rsidRPr="00701BAD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прогнозирования и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930" w:type="dxa"/>
          </w:tcPr>
          <w:p w:rsidR="00B16030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телефон,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за организацию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руководителя соответствующего структурного подразделения </w:t>
            </w:r>
          </w:p>
        </w:tc>
        <w:tc>
          <w:tcPr>
            <w:tcW w:w="4820" w:type="dxa"/>
          </w:tcPr>
          <w:p w:rsidR="00B16030" w:rsidRPr="00701BAD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экономики, прогнозирования и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, тел.: 8(86149) 7-23-81,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030" w:rsidRPr="00701BAD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30" w:rsidRPr="00701BAD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экономики, прогнозирования и инвестиций администрации муниципального 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Уваров Андрей Николаевич, тел.: 8(86149) 7-19-88</w:t>
            </w:r>
          </w:p>
        </w:tc>
      </w:tr>
      <w:tr w:rsidR="00C1508C" w:rsidRPr="00507F49" w:rsidTr="00767818">
        <w:tc>
          <w:tcPr>
            <w:tcW w:w="846" w:type="dxa"/>
          </w:tcPr>
          <w:p w:rsidR="00C1508C" w:rsidRPr="00507F49" w:rsidRDefault="00C1508C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8930" w:type="dxa"/>
          </w:tcPr>
          <w:p w:rsidR="00C1508C" w:rsidRDefault="00C1508C" w:rsidP="003B1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при проведении процедур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ОРВ и экспертизы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с общественными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44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по защите прав предпринимателей в Краснодарском крае,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иными участниками публичных консультаций</w:t>
            </w:r>
          </w:p>
        </w:tc>
        <w:tc>
          <w:tcPr>
            <w:tcW w:w="4820" w:type="dxa"/>
          </w:tcPr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508C" w:rsidRPr="00507F49" w:rsidTr="00767818">
        <w:tc>
          <w:tcPr>
            <w:tcW w:w="846" w:type="dxa"/>
          </w:tcPr>
          <w:p w:rsidR="00C1508C" w:rsidRPr="00507F49" w:rsidRDefault="00C1508C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930" w:type="dxa"/>
          </w:tcPr>
          <w:p w:rsidR="00C1508C" w:rsidRPr="00507F49" w:rsidRDefault="00C1508C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заключенных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(с указанием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лиц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1. 08.06.2017 с Новопокровской РТО Профсоюза работников агропромышленного комплекса Российской Федерации</w:t>
            </w:r>
          </w:p>
          <w:p w:rsidR="00A4530C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453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A453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 представителем в муниципальном образовании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Уполномоченного по защите прав предпринимателей в Краснодарском крае ИП </w:t>
            </w:r>
            <w:r w:rsidR="00A4530C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Вороновой Е.В.</w:t>
            </w:r>
          </w:p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3. 14.06.2017 с </w:t>
            </w:r>
            <w:r w:rsidRPr="00851E06">
              <w:rPr>
                <w:rFonts w:ascii="Times New Roman" w:hAnsi="Times New Roman" w:cs="Times New Roman"/>
                <w:sz w:val="24"/>
                <w:szCs w:val="24"/>
              </w:rPr>
              <w:t>общественным представителем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 индивидуальных предпринимателей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ИП Петровым Д.С.</w:t>
            </w:r>
          </w:p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4. 15.06.2017 с общественным представителем от индивидуальных предпринимателей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ИП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5. 15.06.2017 с  общественным представителем от крестьянских фермерских хозяйств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главой КФХ Вороновым Н.С.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930" w:type="dxa"/>
          </w:tcPr>
          <w:p w:rsidR="00B16030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заключенного с Уполномоченным по защите прав предпринимателей в Краснодарском крае (его представителем в МО)</w:t>
            </w:r>
          </w:p>
        </w:tc>
        <w:tc>
          <w:tcPr>
            <w:tcW w:w="4820" w:type="dxa"/>
          </w:tcPr>
          <w:p w:rsidR="00B16030" w:rsidRPr="00507F49" w:rsidRDefault="00A4530C" w:rsidP="00A4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1673" w:rsidRPr="00701BA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1673"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 представителем в муниципальном образовании </w:t>
            </w:r>
            <w:proofErr w:type="spellStart"/>
            <w:r w:rsidR="003C1673"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3C1673"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Уполномоченного </w:t>
            </w:r>
            <w:r w:rsidR="003C1673"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защите прав предпринимателей в Краснодарском крае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Вороновой Е.В.</w:t>
            </w:r>
          </w:p>
        </w:tc>
      </w:tr>
      <w:tr w:rsidR="003C1673" w:rsidRPr="00507F49" w:rsidTr="00767818">
        <w:tc>
          <w:tcPr>
            <w:tcW w:w="846" w:type="dxa"/>
          </w:tcPr>
          <w:p w:rsidR="003C1673" w:rsidRPr="00507F49" w:rsidRDefault="003C167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8930" w:type="dxa"/>
          </w:tcPr>
          <w:p w:rsidR="003C1673" w:rsidRDefault="003C1673" w:rsidP="00A16DF5">
            <w:pPr>
              <w:tabs>
                <w:tab w:val="left" w:pos="1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(иных участников публичных консультаций), с которыми заключены соглашения о взаимодействии при проведении процедур ОРВ и экспертизы, вошедших в состав Консультативного совета</w:t>
            </w:r>
          </w:p>
        </w:tc>
        <w:tc>
          <w:tcPr>
            <w:tcW w:w="4820" w:type="dxa"/>
          </w:tcPr>
          <w:p w:rsidR="003C1673" w:rsidRPr="00701BAD" w:rsidRDefault="003C1673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1673" w:rsidRPr="00507F49" w:rsidTr="00767818">
        <w:tc>
          <w:tcPr>
            <w:tcW w:w="846" w:type="dxa"/>
            <w:vMerge w:val="restart"/>
          </w:tcPr>
          <w:p w:rsidR="003C1673" w:rsidRDefault="003C167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930" w:type="dxa"/>
          </w:tcPr>
          <w:p w:rsidR="003C1673" w:rsidRPr="00507F49" w:rsidRDefault="003C1673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ОРВ и экспертизы,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проведении публичных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в открытом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доступе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31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153A2F" w:rsidRDefault="003C1673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пециализированные разделы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легкодоступны,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удобны в использовании, систематизированы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разделены на подразделы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31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153A2F" w:rsidRDefault="003C1673" w:rsidP="00077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Надлежащим образом используются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утвержденные формы документов,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Порядками проведения ОРВ и экспертизы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размещенные в специализированных разделах,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установленной форме)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31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Default="003C1673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специализированных разделах в полном объеме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31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DB07F5" w:rsidRDefault="003C1673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специализированных разделах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с указанием даты их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, прослеживается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хронология проведения процеду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да/нет)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62703D" w:rsidRDefault="00B16030" w:rsidP="00A16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8930" w:type="dxa"/>
          </w:tcPr>
          <w:p w:rsidR="00B16030" w:rsidRDefault="00B16030" w:rsidP="000C2A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Подразделы «Законодательная база» специализированных разделов содержат актуальную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16030" w:rsidRDefault="00B16030" w:rsidP="000C2A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(Порядки проведения ОРВ и экспертизы размещены в </w:t>
            </w:r>
            <w:r w:rsidRPr="00627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редакции).</w:t>
            </w:r>
          </w:p>
          <w:p w:rsidR="00B16030" w:rsidRPr="00153A2F" w:rsidRDefault="00B16030" w:rsidP="0062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(Размещены м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B16030" w:rsidRPr="00507F49" w:rsidRDefault="003C1673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BE7CA5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930" w:type="dxa"/>
          </w:tcPr>
          <w:p w:rsidR="00B16030" w:rsidRPr="00153A2F" w:rsidRDefault="00B16030" w:rsidP="0015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упрощенный доступ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разделы посредством размещения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их на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главной странице официальных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либо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соответствующих активных баннеров (ссылок)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B16030" w:rsidRPr="00507F49" w:rsidRDefault="001E788A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507F49" w:rsidRDefault="00B16030" w:rsidP="0030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93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с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сайта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указанных процедур, в том числе:</w:t>
            </w:r>
          </w:p>
        </w:tc>
        <w:tc>
          <w:tcPr>
            <w:tcW w:w="4820" w:type="dxa"/>
          </w:tcPr>
          <w:p w:rsidR="00B16030" w:rsidRPr="00507F49" w:rsidRDefault="001E788A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507F49" w:rsidRDefault="003C1673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3C1673" w:rsidRPr="00701BAD" w:rsidRDefault="003C1673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http://www.novopokrovskaya.com/economy/otsenka-reguliruyushchego-vozdeystviya/uvedomleniya-o-provedenii-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publichnykh-konsultatsiy-proektov-normativnykh-pravovykh-aktov-administrats/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507F49" w:rsidRDefault="003C1673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НПА</w:t>
            </w:r>
          </w:p>
        </w:tc>
        <w:tc>
          <w:tcPr>
            <w:tcW w:w="4820" w:type="dxa"/>
          </w:tcPr>
          <w:p w:rsidR="003C1673" w:rsidRPr="00701BAD" w:rsidRDefault="003C1673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http://www.novopokrovskaya.com/economy/ekspertiza-munitsipalnykh-normativnykh-pravovykh-aktov/uvedomleniya-o-provedenii-publichnykh-konsultatsiy/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930" w:type="dxa"/>
          </w:tcPr>
          <w:p w:rsidR="00B16030" w:rsidRPr="0022398A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департамент инвестиций и развития малого и среднего предпринимательства Краснодарского края представлялись «Лучшие практики проведения ОРВ», в которых приведены практические примеры проведения ОРВ проектов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НПА </w:t>
            </w:r>
            <w:r w:rsidRPr="0022398A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в разделе «Лучшие практики ОРВ» на портале </w:t>
            </w:r>
            <w:hyperlink r:id="rId9" w:history="1">
              <w:r w:rsidRPr="0022398A">
                <w:rPr>
                  <w:rFonts w:ascii="Times New Roman" w:hAnsi="Times New Roman" w:cs="Times New Roman"/>
                  <w:sz w:val="24"/>
                  <w:szCs w:val="24"/>
                </w:rPr>
                <w:t>www.orv.gov.ru</w:t>
              </w:r>
            </w:hyperlink>
            <w:r w:rsidRPr="0022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(указывается дата представления)</w:t>
            </w:r>
          </w:p>
        </w:tc>
        <w:tc>
          <w:tcPr>
            <w:tcW w:w="4820" w:type="dxa"/>
          </w:tcPr>
          <w:p w:rsidR="00B16030" w:rsidRPr="00507F49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B16030" w:rsidRPr="00507F49" w:rsidTr="00767818">
        <w:tc>
          <w:tcPr>
            <w:tcW w:w="14596" w:type="dxa"/>
            <w:gridSpan w:val="3"/>
          </w:tcPr>
          <w:p w:rsidR="00B16030" w:rsidRPr="007854BB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ОРВ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30" w:type="dxa"/>
          </w:tcPr>
          <w:p w:rsidR="00B16030" w:rsidRDefault="00B16030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DEB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116986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0" w:type="dxa"/>
          </w:tcPr>
          <w:p w:rsidR="00B16030" w:rsidRPr="00116986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за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9D4D8E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765CAC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D4D8E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за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78312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765CAC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D4D8E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отрицательных заключений за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F86559" w:rsidRDefault="00B16030" w:rsidP="00DA14C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559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ОРВ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заключений, выданных в результате устранения замечаний,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изложенных в отрицательных заключениях, за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116986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муниципальных НПА,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МО за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765CAC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765CAC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116986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муниципальных НПА, внесенным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87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подготовленных с использованием количественных методов </w:t>
            </w:r>
          </w:p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30" w:type="dxa"/>
          </w:tcPr>
          <w:p w:rsidR="00B16030" w:rsidRDefault="00B16030" w:rsidP="000B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в которых сделан вывод о возможных альтернативных способах предлагаемого регулирования </w:t>
            </w:r>
          </w:p>
          <w:p w:rsidR="00B16030" w:rsidRDefault="00B16030" w:rsidP="000B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муниципальных НПА, по которым поступили замечания (предложения) в рамках публичных консультаций за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30" w:type="dxa"/>
          </w:tcPr>
          <w:p w:rsidR="00B16030" w:rsidRDefault="00B16030" w:rsidP="0076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замечаний (предложений), поступивших от участников публичных консультаций в рамках ОРВ за 20</w:t>
            </w:r>
            <w:r w:rsidR="0076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765CAC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частично за 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CB0334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CB0334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CB0334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неучтённых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CB0334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квартал 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CB0334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2020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ОРВ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14596" w:type="dxa"/>
            <w:gridSpan w:val="3"/>
          </w:tcPr>
          <w:p w:rsidR="00B16030" w:rsidRPr="00116986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экспертизы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0" w:type="dxa"/>
          </w:tcPr>
          <w:p w:rsidR="00B16030" w:rsidRDefault="00B16030" w:rsidP="000B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консультативного 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>совета за 4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формирования планов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приеме предложений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3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rPr>
          <w:trHeight w:val="294"/>
        </w:trPr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плана проведения экспертизы:</w:t>
            </w:r>
          </w:p>
        </w:tc>
        <w:tc>
          <w:tcPr>
            <w:tcW w:w="4820" w:type="dxa"/>
          </w:tcPr>
          <w:p w:rsidR="00B16030" w:rsidRPr="00116986" w:rsidRDefault="001E788A" w:rsidP="000B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CB0334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37F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2020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5D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2020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НПА, включенных в план проведения экспертизы всего, в том числе:</w:t>
            </w:r>
          </w:p>
        </w:tc>
        <w:tc>
          <w:tcPr>
            <w:tcW w:w="4820" w:type="dxa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B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</w:t>
            </w:r>
            <w:r w:rsidR="00CB0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проведении публичных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3B3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116986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8930" w:type="dxa"/>
          </w:tcPr>
          <w:p w:rsidR="00B16030" w:rsidRPr="00116986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 подготовленных заключений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311DE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в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числе: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990AD8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отрицательных заключений (с рекомендациями о внесении изменений или отмене муниципальных НПА) в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числе: 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0B67D3" w:rsidRDefault="00B16030" w:rsidP="009865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7D3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экспертизы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НПА, которые отменены и (или) в которые внесены изменения по результатам экспертизы,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7438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опубликованные НПА, отменяющие и (или) которыми вносятся изменения по результатам экспертизы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(предложений), поступивших от участников публичных консультаций в рамках экспертизы в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820" w:type="dxa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частично в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C3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</w:t>
            </w:r>
            <w:r w:rsidR="00C32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экспертизы,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организации, ФИО контактного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, возникши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процедур ОРВ и экспертизы муниципальных НПА (при наличии)</w:t>
            </w:r>
          </w:p>
        </w:tc>
        <w:tc>
          <w:tcPr>
            <w:tcW w:w="4820" w:type="dxa"/>
          </w:tcPr>
          <w:p w:rsidR="00B16030" w:rsidRPr="00116986" w:rsidRDefault="00BA109F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486F" w:rsidRDefault="00D7486F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D87" w:rsidRDefault="00022D87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09F" w:rsidRDefault="00BA109F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685" w:rsidRDefault="001F6FFF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C32685" w:rsidRDefault="00C32685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1E788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7486F" w:rsidRPr="00DF1139" w:rsidRDefault="001E788A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F6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FFF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F6FF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486F">
        <w:rPr>
          <w:rFonts w:ascii="Times New Roman" w:hAnsi="Times New Roman" w:cs="Times New Roman"/>
          <w:sz w:val="28"/>
          <w:szCs w:val="28"/>
        </w:rPr>
        <w:t xml:space="preserve">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F6FFF">
        <w:rPr>
          <w:rFonts w:ascii="Times New Roman" w:hAnsi="Times New Roman" w:cs="Times New Roman"/>
          <w:sz w:val="28"/>
          <w:szCs w:val="28"/>
        </w:rPr>
        <w:t>Н</w:t>
      </w:r>
      <w:r w:rsidR="00C32685">
        <w:rPr>
          <w:rFonts w:ascii="Times New Roman" w:hAnsi="Times New Roman" w:cs="Times New Roman"/>
          <w:sz w:val="28"/>
          <w:szCs w:val="28"/>
        </w:rPr>
        <w:t>.</w:t>
      </w:r>
      <w:r w:rsidR="001F6FFF">
        <w:rPr>
          <w:rFonts w:ascii="Times New Roman" w:hAnsi="Times New Roman" w:cs="Times New Roman"/>
          <w:sz w:val="28"/>
          <w:szCs w:val="28"/>
        </w:rPr>
        <w:t>С.</w:t>
      </w:r>
      <w:r w:rsidR="00C32685">
        <w:rPr>
          <w:rFonts w:ascii="Times New Roman" w:hAnsi="Times New Roman" w:cs="Times New Roman"/>
          <w:sz w:val="28"/>
          <w:szCs w:val="28"/>
        </w:rPr>
        <w:t xml:space="preserve"> Уваров</w:t>
      </w:r>
      <w:r w:rsidR="001F6FFF">
        <w:rPr>
          <w:rFonts w:ascii="Times New Roman" w:hAnsi="Times New Roman" w:cs="Times New Roman"/>
          <w:sz w:val="28"/>
          <w:szCs w:val="28"/>
        </w:rPr>
        <w:t>а</w:t>
      </w:r>
    </w:p>
    <w:p w:rsidR="00D7486F" w:rsidRPr="00D7486F" w:rsidRDefault="00D7486F" w:rsidP="00D74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486F">
        <w:rPr>
          <w:rFonts w:ascii="Times New Roman" w:hAnsi="Times New Roman" w:cs="Times New Roman"/>
          <w:sz w:val="24"/>
          <w:szCs w:val="24"/>
        </w:rPr>
        <w:t xml:space="preserve">              (подпись)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7486F">
        <w:rPr>
          <w:rFonts w:ascii="Times New Roman" w:hAnsi="Times New Roman" w:cs="Times New Roman"/>
          <w:sz w:val="24"/>
          <w:szCs w:val="24"/>
        </w:rPr>
        <w:t xml:space="preserve">           ФИО</w:t>
      </w:r>
    </w:p>
    <w:p w:rsidR="00D7486F" w:rsidRDefault="00D7486F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818" w:rsidRDefault="00767818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818" w:rsidSect="00871EC2">
      <w:headerReference w:type="default" r:id="rId10"/>
      <w:pgSz w:w="16838" w:h="11906" w:orient="landscape"/>
      <w:pgMar w:top="1701" w:right="124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A0D" w:rsidRDefault="00EC3A0D" w:rsidP="00782713">
      <w:pPr>
        <w:spacing w:after="0" w:line="240" w:lineRule="auto"/>
      </w:pPr>
      <w:r>
        <w:separator/>
      </w:r>
    </w:p>
  </w:endnote>
  <w:endnote w:type="continuationSeparator" w:id="0">
    <w:p w:rsidR="00EC3A0D" w:rsidRDefault="00EC3A0D" w:rsidP="0078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A0D" w:rsidRDefault="00EC3A0D" w:rsidP="00782713">
      <w:pPr>
        <w:spacing w:after="0" w:line="240" w:lineRule="auto"/>
      </w:pPr>
      <w:r>
        <w:separator/>
      </w:r>
    </w:p>
  </w:footnote>
  <w:footnote w:type="continuationSeparator" w:id="0">
    <w:p w:rsidR="00EC3A0D" w:rsidRDefault="00EC3A0D" w:rsidP="0078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329489193"/>
      <w:docPartObj>
        <w:docPartGallery w:val="Page Numbers (Margins)"/>
        <w:docPartUnique/>
      </w:docPartObj>
    </w:sdtPr>
    <w:sdtContent>
      <w:p w:rsidR="00E54AA2" w:rsidRPr="00782713" w:rsidRDefault="00E54AA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noProof/>
            <w:sz w:val="28"/>
            <w:szCs w:val="28"/>
            <w:lang w:eastAsia="ru-RU"/>
          </w:rPr>
          <w:pict>
            <v:rect id="Прямоугольник 2" o:spid="_x0000_s10241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E54AA2" w:rsidRPr="00871EC2" w:rsidRDefault="00E54AA2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CA7D54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871EC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CA7D54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880757" w:rsidRPr="00880757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11</w:t>
                        </w:r>
                        <w:r w:rsidRPr="00871EC2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2560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782713"/>
    <w:rsid w:val="00022D87"/>
    <w:rsid w:val="00031D5C"/>
    <w:rsid w:val="000360FB"/>
    <w:rsid w:val="000739C6"/>
    <w:rsid w:val="00077115"/>
    <w:rsid w:val="000B67D3"/>
    <w:rsid w:val="000C2A40"/>
    <w:rsid w:val="000E6F42"/>
    <w:rsid w:val="000F7290"/>
    <w:rsid w:val="00140632"/>
    <w:rsid w:val="00151720"/>
    <w:rsid w:val="00154A6F"/>
    <w:rsid w:val="001570B0"/>
    <w:rsid w:val="00187406"/>
    <w:rsid w:val="001C4D53"/>
    <w:rsid w:val="001E788A"/>
    <w:rsid w:val="001F09AB"/>
    <w:rsid w:val="001F6FFF"/>
    <w:rsid w:val="001F77C3"/>
    <w:rsid w:val="00203A69"/>
    <w:rsid w:val="00211E79"/>
    <w:rsid w:val="00217D0D"/>
    <w:rsid w:val="0022398A"/>
    <w:rsid w:val="0024654B"/>
    <w:rsid w:val="00261D7A"/>
    <w:rsid w:val="0028045F"/>
    <w:rsid w:val="002A73CC"/>
    <w:rsid w:val="002B486E"/>
    <w:rsid w:val="002B7866"/>
    <w:rsid w:val="002D4D37"/>
    <w:rsid w:val="002D75EA"/>
    <w:rsid w:val="002E17DF"/>
    <w:rsid w:val="00305651"/>
    <w:rsid w:val="003061EA"/>
    <w:rsid w:val="0031025D"/>
    <w:rsid w:val="00311DEB"/>
    <w:rsid w:val="00346E0E"/>
    <w:rsid w:val="00392853"/>
    <w:rsid w:val="00393B9D"/>
    <w:rsid w:val="003B1440"/>
    <w:rsid w:val="003B37F9"/>
    <w:rsid w:val="003C1673"/>
    <w:rsid w:val="003E562D"/>
    <w:rsid w:val="00413B2B"/>
    <w:rsid w:val="00455EFA"/>
    <w:rsid w:val="00466232"/>
    <w:rsid w:val="004801DA"/>
    <w:rsid w:val="004B2676"/>
    <w:rsid w:val="004B4802"/>
    <w:rsid w:val="004B5081"/>
    <w:rsid w:val="004B664F"/>
    <w:rsid w:val="0052453C"/>
    <w:rsid w:val="005509A4"/>
    <w:rsid w:val="00556C54"/>
    <w:rsid w:val="005A2D3D"/>
    <w:rsid w:val="005C01E4"/>
    <w:rsid w:val="005D4978"/>
    <w:rsid w:val="00606B9F"/>
    <w:rsid w:val="0062703D"/>
    <w:rsid w:val="006475FC"/>
    <w:rsid w:val="006A0700"/>
    <w:rsid w:val="006A56D0"/>
    <w:rsid w:val="006A5FA8"/>
    <w:rsid w:val="006B5F91"/>
    <w:rsid w:val="006E408B"/>
    <w:rsid w:val="0072693F"/>
    <w:rsid w:val="007370BF"/>
    <w:rsid w:val="0074384A"/>
    <w:rsid w:val="00765CAC"/>
    <w:rsid w:val="007668B4"/>
    <w:rsid w:val="00767818"/>
    <w:rsid w:val="007816C0"/>
    <w:rsid w:val="00782713"/>
    <w:rsid w:val="00783120"/>
    <w:rsid w:val="007854BB"/>
    <w:rsid w:val="007B4CE8"/>
    <w:rsid w:val="007C626B"/>
    <w:rsid w:val="008315F7"/>
    <w:rsid w:val="0083403B"/>
    <w:rsid w:val="00852EDF"/>
    <w:rsid w:val="00865EFC"/>
    <w:rsid w:val="00867973"/>
    <w:rsid w:val="00871EC2"/>
    <w:rsid w:val="00877B01"/>
    <w:rsid w:val="00880757"/>
    <w:rsid w:val="008A4DDC"/>
    <w:rsid w:val="008B1E62"/>
    <w:rsid w:val="0094639F"/>
    <w:rsid w:val="009865B6"/>
    <w:rsid w:val="00990AD8"/>
    <w:rsid w:val="00996166"/>
    <w:rsid w:val="009C13C5"/>
    <w:rsid w:val="009D4D8E"/>
    <w:rsid w:val="00A16DF5"/>
    <w:rsid w:val="00A4530C"/>
    <w:rsid w:val="00A670D3"/>
    <w:rsid w:val="00A828A4"/>
    <w:rsid w:val="00AF1639"/>
    <w:rsid w:val="00B07C38"/>
    <w:rsid w:val="00B16030"/>
    <w:rsid w:val="00B748A6"/>
    <w:rsid w:val="00B84230"/>
    <w:rsid w:val="00B906D8"/>
    <w:rsid w:val="00BA109F"/>
    <w:rsid w:val="00BA3E7E"/>
    <w:rsid w:val="00BA5141"/>
    <w:rsid w:val="00BD6F67"/>
    <w:rsid w:val="00BD74A5"/>
    <w:rsid w:val="00BE5E9D"/>
    <w:rsid w:val="00BE7CA5"/>
    <w:rsid w:val="00C0243B"/>
    <w:rsid w:val="00C1280E"/>
    <w:rsid w:val="00C1296F"/>
    <w:rsid w:val="00C1508C"/>
    <w:rsid w:val="00C32685"/>
    <w:rsid w:val="00CA7D54"/>
    <w:rsid w:val="00CB0334"/>
    <w:rsid w:val="00CB518D"/>
    <w:rsid w:val="00CD3B97"/>
    <w:rsid w:val="00D07891"/>
    <w:rsid w:val="00D14815"/>
    <w:rsid w:val="00D70DB3"/>
    <w:rsid w:val="00D7486F"/>
    <w:rsid w:val="00D82F49"/>
    <w:rsid w:val="00DA14C6"/>
    <w:rsid w:val="00DB07F5"/>
    <w:rsid w:val="00DB0E8E"/>
    <w:rsid w:val="00DB0ECF"/>
    <w:rsid w:val="00DC5E82"/>
    <w:rsid w:val="00DE2220"/>
    <w:rsid w:val="00DF1139"/>
    <w:rsid w:val="00E37B87"/>
    <w:rsid w:val="00E54AA2"/>
    <w:rsid w:val="00E6008F"/>
    <w:rsid w:val="00E63923"/>
    <w:rsid w:val="00EC3A0D"/>
    <w:rsid w:val="00EE6E88"/>
    <w:rsid w:val="00F06B95"/>
    <w:rsid w:val="00F21DFC"/>
    <w:rsid w:val="00F30491"/>
    <w:rsid w:val="00F62B6A"/>
    <w:rsid w:val="00F63C2F"/>
    <w:rsid w:val="00F86559"/>
    <w:rsid w:val="00F9695C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7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713"/>
  </w:style>
  <w:style w:type="paragraph" w:styleId="a6">
    <w:name w:val="footer"/>
    <w:basedOn w:val="a"/>
    <w:link w:val="a7"/>
    <w:uiPriority w:val="99"/>
    <w:unhideWhenUsed/>
    <w:rsid w:val="0078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713"/>
  </w:style>
  <w:style w:type="paragraph" w:styleId="a8">
    <w:name w:val="Balloon Text"/>
    <w:basedOn w:val="a"/>
    <w:link w:val="a9"/>
    <w:uiPriority w:val="99"/>
    <w:semiHidden/>
    <w:unhideWhenUsed/>
    <w:rsid w:val="0076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8B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239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novo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novop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r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A1AB-89BE-4A7D-BDC8-EAA7A175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Белозорова Наталья Витальевна</dc:creator>
  <cp:lastModifiedBy>Пользователь Windows</cp:lastModifiedBy>
  <cp:revision>14</cp:revision>
  <cp:lastPrinted>2020-07-09T12:40:00Z</cp:lastPrinted>
  <dcterms:created xsi:type="dcterms:W3CDTF">2019-04-15T05:26:00Z</dcterms:created>
  <dcterms:modified xsi:type="dcterms:W3CDTF">2020-10-06T12:48:00Z</dcterms:modified>
</cp:coreProperties>
</file>